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закупки</w:t>
      </w:r>
    </w:p>
    <w:p>
      <w:pPr>
        <w:pStyle w:val="style0"/>
        <w:jc w:val="center"/>
      </w:pPr>
      <w:r>
        <w:rPr>
          <w:b/>
          <w:bCs/>
        </w:rPr>
        <w:t>у единственного поставщика (исполнителя, подрядчика)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  <w:lang w:val="ru-RU"/>
        </w:rPr>
        <w:t>апрель</w:t>
      </w:r>
      <w:r>
        <w:rPr>
          <w:b/>
          <w:bCs/>
        </w:rPr>
        <w:t xml:space="preserve">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Количество заключенных договоров за период: 11</w:t>
      </w:r>
      <w:r>
        <w:rPr>
          <w:b w:val="false"/>
          <w:bCs w:val="false"/>
        </w:rPr>
        <w:t>4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 xml:space="preserve">Российский рубль: 6 </w:t>
      </w:r>
      <w:r>
        <w:rPr>
          <w:b w:val="false"/>
          <w:bCs w:val="false"/>
        </w:rPr>
        <w:t>050 671,75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revision>0</cp:revision>
</cp:coreProperties>
</file>